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2925D" w14:textId="77777777" w:rsidR="00783074" w:rsidRPr="00421B77" w:rsidRDefault="00783074" w:rsidP="00634EA5">
      <w:pPr>
        <w:pStyle w:val="Title"/>
        <w:spacing w:after="120"/>
        <w:rPr>
          <w:rStyle w:val="SubtleReference"/>
          <w:rFonts w:ascii="Calibri" w:hAnsi="Calibri"/>
          <w:color w:val="auto"/>
        </w:rPr>
      </w:pPr>
      <w:r w:rsidRPr="00634EA5">
        <w:rPr>
          <w:rStyle w:val="SubtleReference"/>
          <w:rFonts w:ascii="Calibri" w:hAnsi="Calibri"/>
          <w:b/>
          <w:color w:val="auto"/>
        </w:rPr>
        <w:t>Service Reconciliation Process:</w:t>
      </w:r>
      <w:r w:rsidRPr="00421B77">
        <w:rPr>
          <w:rStyle w:val="SubtleReference"/>
          <w:rFonts w:ascii="Calibri" w:hAnsi="Calibri"/>
          <w:color w:val="auto"/>
        </w:rPr>
        <w:t xml:space="preserve"> </w:t>
      </w:r>
      <w:r w:rsidRPr="00421B77">
        <w:rPr>
          <w:rStyle w:val="SubtleReference"/>
          <w:rFonts w:ascii="Calibri" w:hAnsi="Calibri"/>
          <w:color w:val="auto"/>
          <w:sz w:val="40"/>
          <w:szCs w:val="40"/>
        </w:rPr>
        <w:t>Utilizing County Reports</w:t>
      </w:r>
    </w:p>
    <w:p w14:paraId="1AC5CE88" w14:textId="18043A9B" w:rsidR="0055374D" w:rsidRDefault="00634EA5">
      <w:pPr>
        <w:rPr>
          <w:i/>
          <w:sz w:val="24"/>
          <w:szCs w:val="24"/>
        </w:rPr>
      </w:pPr>
      <w:r w:rsidRPr="00634EA5">
        <w:rPr>
          <w:i/>
          <w:noProof/>
        </w:rPr>
        <w:drawing>
          <wp:anchor distT="0" distB="0" distL="114300" distR="114300" simplePos="0" relativeHeight="251658240" behindDoc="0" locked="0" layoutInCell="1" allowOverlap="1" wp14:anchorId="3190FB98" wp14:editId="55B78852">
            <wp:simplePos x="0" y="0"/>
            <wp:positionH relativeFrom="column">
              <wp:posOffset>-142875</wp:posOffset>
            </wp:positionH>
            <wp:positionV relativeFrom="paragraph">
              <wp:posOffset>737234</wp:posOffset>
            </wp:positionV>
            <wp:extent cx="9486900" cy="5690235"/>
            <wp:effectExtent l="95250" t="57150" r="76200" b="120015"/>
            <wp:wrapThrough wrapText="bothSides">
              <wp:wrapPolygon edited="0">
                <wp:start x="-173" y="-217"/>
                <wp:lineTo x="-217" y="20754"/>
                <wp:lineTo x="390" y="20754"/>
                <wp:lineTo x="390" y="21405"/>
                <wp:lineTo x="1084" y="21983"/>
                <wp:lineTo x="1258" y="21983"/>
                <wp:lineTo x="1301" y="21839"/>
                <wp:lineTo x="1952" y="20754"/>
                <wp:lineTo x="14964" y="20754"/>
                <wp:lineTo x="21730" y="20392"/>
                <wp:lineTo x="21687" y="17283"/>
                <wp:lineTo x="21470" y="16198"/>
                <wp:lineTo x="21557" y="15764"/>
                <wp:lineTo x="2125" y="14969"/>
                <wp:lineTo x="7677" y="14969"/>
                <wp:lineTo x="21687" y="14173"/>
                <wp:lineTo x="21687" y="9762"/>
                <wp:lineTo x="18477" y="9618"/>
                <wp:lineTo x="2342" y="9184"/>
                <wp:lineTo x="9022" y="9184"/>
                <wp:lineTo x="21687" y="8461"/>
                <wp:lineTo x="21730" y="4700"/>
                <wp:lineTo x="2125" y="4556"/>
                <wp:lineTo x="21643" y="3399"/>
                <wp:lineTo x="21687" y="1085"/>
                <wp:lineTo x="21470" y="0"/>
                <wp:lineTo x="21470" y="-217"/>
                <wp:lineTo x="-173" y="-217"/>
              </wp:wrapPolygon>
            </wp:wrapThrough>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page">
              <wp14:pctWidth>0</wp14:pctWidth>
            </wp14:sizeRelH>
            <wp14:sizeRelV relativeFrom="page">
              <wp14:pctHeight>0</wp14:pctHeight>
            </wp14:sizeRelV>
          </wp:anchor>
        </w:drawing>
      </w:r>
      <w:r w:rsidR="00783074" w:rsidRPr="00634EA5">
        <w:rPr>
          <w:i/>
          <w:sz w:val="24"/>
          <w:szCs w:val="24"/>
        </w:rPr>
        <w:t xml:space="preserve">The following information is to aid in the service (unit) reconciliation process for Providers. Reconciling service units throughout the year will allow changes </w:t>
      </w:r>
      <w:r w:rsidR="00165D05" w:rsidRPr="00634EA5">
        <w:rPr>
          <w:i/>
          <w:sz w:val="24"/>
          <w:szCs w:val="24"/>
        </w:rPr>
        <w:t xml:space="preserve">to be made </w:t>
      </w:r>
      <w:r w:rsidR="00783074" w:rsidRPr="00634EA5">
        <w:rPr>
          <w:i/>
          <w:sz w:val="24"/>
          <w:szCs w:val="24"/>
        </w:rPr>
        <w:t xml:space="preserve">in a timely manner, therefore making the final cost report schedules easier to complete. A determination </w:t>
      </w:r>
      <w:proofErr w:type="gramStart"/>
      <w:r w:rsidR="00783074" w:rsidRPr="00634EA5">
        <w:rPr>
          <w:i/>
          <w:sz w:val="24"/>
          <w:szCs w:val="24"/>
        </w:rPr>
        <w:t>has been made</w:t>
      </w:r>
      <w:proofErr w:type="gramEnd"/>
      <w:r w:rsidR="00783074" w:rsidRPr="00634EA5">
        <w:rPr>
          <w:i/>
          <w:sz w:val="24"/>
          <w:szCs w:val="24"/>
        </w:rPr>
        <w:t xml:space="preserve"> that the following reports, </w:t>
      </w:r>
      <w:r w:rsidR="004E0851" w:rsidRPr="00634EA5">
        <w:rPr>
          <w:i/>
          <w:sz w:val="24"/>
          <w:szCs w:val="24"/>
        </w:rPr>
        <w:t>reviewed</w:t>
      </w:r>
      <w:r w:rsidR="00783074" w:rsidRPr="00634EA5">
        <w:rPr>
          <w:i/>
          <w:sz w:val="24"/>
          <w:szCs w:val="24"/>
        </w:rPr>
        <w:t xml:space="preserve"> in the order listed, can simplify this process. </w:t>
      </w:r>
    </w:p>
    <w:p w14:paraId="30751DC7" w14:textId="44C68E6C" w:rsidR="009C00A0" w:rsidRPr="00757C97" w:rsidRDefault="009C00A0" w:rsidP="00757C97">
      <w:pPr>
        <w:spacing w:after="200" w:line="276" w:lineRule="auto"/>
        <w:rPr>
          <w:i/>
          <w:sz w:val="24"/>
          <w:szCs w:val="24"/>
        </w:rPr>
      </w:pPr>
      <w:bookmarkStart w:id="0" w:name="_GoBack"/>
      <w:bookmarkEnd w:id="0"/>
    </w:p>
    <w:sectPr w:rsidR="009C00A0" w:rsidRPr="00757C97" w:rsidSect="00634EA5">
      <w:pgSz w:w="15840" w:h="12240" w:orient="landscape"/>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74"/>
    <w:rsid w:val="000010F0"/>
    <w:rsid w:val="0001440F"/>
    <w:rsid w:val="00073DC1"/>
    <w:rsid w:val="00133D18"/>
    <w:rsid w:val="001545E3"/>
    <w:rsid w:val="00165D05"/>
    <w:rsid w:val="0018045B"/>
    <w:rsid w:val="001B5FD7"/>
    <w:rsid w:val="001F6543"/>
    <w:rsid w:val="0021527A"/>
    <w:rsid w:val="002961FC"/>
    <w:rsid w:val="002D2F20"/>
    <w:rsid w:val="003250DD"/>
    <w:rsid w:val="003632DD"/>
    <w:rsid w:val="00376222"/>
    <w:rsid w:val="00382A25"/>
    <w:rsid w:val="003A4F7E"/>
    <w:rsid w:val="003C36C8"/>
    <w:rsid w:val="003F06DE"/>
    <w:rsid w:val="00421B77"/>
    <w:rsid w:val="004E0851"/>
    <w:rsid w:val="00507109"/>
    <w:rsid w:val="005270F9"/>
    <w:rsid w:val="00550543"/>
    <w:rsid w:val="0055374D"/>
    <w:rsid w:val="005720B6"/>
    <w:rsid w:val="005F5834"/>
    <w:rsid w:val="00634EA5"/>
    <w:rsid w:val="006D714D"/>
    <w:rsid w:val="007144BD"/>
    <w:rsid w:val="00757C97"/>
    <w:rsid w:val="00783074"/>
    <w:rsid w:val="007B1E04"/>
    <w:rsid w:val="009C00A0"/>
    <w:rsid w:val="009E14D9"/>
    <w:rsid w:val="00AA3E67"/>
    <w:rsid w:val="00C02C07"/>
    <w:rsid w:val="00C15E36"/>
    <w:rsid w:val="00C16A18"/>
    <w:rsid w:val="00CC387A"/>
    <w:rsid w:val="00DE063A"/>
    <w:rsid w:val="00E5680E"/>
    <w:rsid w:val="00EB3249"/>
    <w:rsid w:val="00EB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8BA0"/>
  <w15:docId w15:val="{07E7E9AB-45D4-4C22-BC69-C96B6278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7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074"/>
    <w:rPr>
      <w:rFonts w:ascii="Tahoma" w:hAnsi="Tahoma" w:cs="Tahoma"/>
      <w:sz w:val="16"/>
      <w:szCs w:val="16"/>
    </w:rPr>
  </w:style>
  <w:style w:type="character" w:customStyle="1" w:styleId="BalloonTextChar">
    <w:name w:val="Balloon Text Char"/>
    <w:basedOn w:val="DefaultParagraphFont"/>
    <w:link w:val="BalloonText"/>
    <w:uiPriority w:val="99"/>
    <w:semiHidden/>
    <w:rsid w:val="00783074"/>
    <w:rPr>
      <w:rFonts w:ascii="Tahoma" w:hAnsi="Tahoma" w:cs="Tahoma"/>
      <w:sz w:val="16"/>
      <w:szCs w:val="16"/>
    </w:rPr>
  </w:style>
  <w:style w:type="paragraph" w:styleId="Title">
    <w:name w:val="Title"/>
    <w:basedOn w:val="Normal"/>
    <w:link w:val="TitleChar"/>
    <w:uiPriority w:val="10"/>
    <w:qFormat/>
    <w:rsid w:val="00783074"/>
    <w:pPr>
      <w:spacing w:after="300"/>
    </w:pPr>
    <w:rPr>
      <w:rFonts w:ascii="Cambria" w:hAnsi="Cambria" w:cs="Times New Roman"/>
      <w:color w:val="17365D"/>
      <w:spacing w:val="5"/>
      <w:sz w:val="52"/>
      <w:szCs w:val="52"/>
    </w:rPr>
  </w:style>
  <w:style w:type="character" w:customStyle="1" w:styleId="TitleChar">
    <w:name w:val="Title Char"/>
    <w:basedOn w:val="DefaultParagraphFont"/>
    <w:link w:val="Title"/>
    <w:uiPriority w:val="10"/>
    <w:rsid w:val="00783074"/>
    <w:rPr>
      <w:rFonts w:ascii="Cambria" w:hAnsi="Cambria" w:cs="Times New Roman"/>
      <w:color w:val="17365D"/>
      <w:spacing w:val="5"/>
      <w:sz w:val="52"/>
      <w:szCs w:val="52"/>
    </w:rPr>
  </w:style>
  <w:style w:type="character" w:styleId="SubtleReference">
    <w:name w:val="Subtle Reference"/>
    <w:basedOn w:val="DefaultParagraphFont"/>
    <w:uiPriority w:val="31"/>
    <w:qFormat/>
    <w:rsid w:val="00783074"/>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2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EB737E-8722-4979-A4BC-6A3CB6E2C6E3}" type="doc">
      <dgm:prSet loTypeId="urn:microsoft.com/office/officeart/2005/8/layout/chevron2" loCatId="process" qsTypeId="urn:microsoft.com/office/officeart/2005/8/quickstyle/3d1" qsCatId="3D" csTypeId="urn:microsoft.com/office/officeart/2005/8/colors/colorful1" csCatId="colorful" phldr="1"/>
      <dgm:spPr/>
      <dgm:t>
        <a:bodyPr/>
        <a:lstStyle/>
        <a:p>
          <a:endParaRPr lang="en-US"/>
        </a:p>
      </dgm:t>
    </dgm:pt>
    <dgm:pt modelId="{3E3DECEE-1FC8-4044-AB33-2C5F18AEA42E}">
      <dgm:prSet phldrT="[Text]" custT="1">
        <dgm:style>
          <a:lnRef idx="2">
            <a:schemeClr val="accent2"/>
          </a:lnRef>
          <a:fillRef idx="1">
            <a:schemeClr val="lt1"/>
          </a:fillRef>
          <a:effectRef idx="0">
            <a:schemeClr val="accent2"/>
          </a:effectRef>
          <a:fontRef idx="minor">
            <a:schemeClr val="dk1"/>
          </a:fontRef>
        </dgm:style>
      </dgm:prSet>
      <dgm:spPr>
        <a:ln/>
      </dgm:spPr>
      <dgm:t>
        <a:bodyPr/>
        <a:lstStyle/>
        <a:p>
          <a:r>
            <a:rPr lang="en-US" sz="1200"/>
            <a:t>Includes all services entered into the ELMR Billing System whether in DRAFT or FINALIZED mode. These services may not yet be approved by Invoice Processing Unit (IPU) for payment. If there are discrepancies on this report, please send an email to ELMRSupport@ruhealth.org.</a:t>
          </a:r>
        </a:p>
      </dgm:t>
    </dgm:pt>
    <dgm:pt modelId="{4987F016-6D80-4144-B5CD-6EF42B564C24}" type="parTrans" cxnId="{1F0F176A-0548-4953-94C0-AFFF95A6C378}">
      <dgm:prSet/>
      <dgm:spPr/>
      <dgm:t>
        <a:bodyPr/>
        <a:lstStyle/>
        <a:p>
          <a:endParaRPr lang="en-US"/>
        </a:p>
      </dgm:t>
    </dgm:pt>
    <dgm:pt modelId="{EDE4A484-3D20-4A4B-A4E2-E67D78CD86E9}" type="sibTrans" cxnId="{1F0F176A-0548-4953-94C0-AFFF95A6C378}">
      <dgm:prSet/>
      <dgm:spPr/>
      <dgm:t>
        <a:bodyPr/>
        <a:lstStyle/>
        <a:p>
          <a:endParaRPr lang="en-US"/>
        </a:p>
      </dgm:t>
    </dgm:pt>
    <dgm:pt modelId="{8955A89A-1B9A-4F18-9461-CCE1683D3A64}">
      <dgm:prSet phldrT="[Text]" custT="1"/>
      <dgm:spPr/>
      <dgm:t>
        <a:bodyPr/>
        <a:lstStyle/>
        <a:p>
          <a:r>
            <a:rPr lang="en-US" sz="1600" b="1"/>
            <a:t>PVD 2002</a:t>
          </a:r>
        </a:p>
      </dgm:t>
    </dgm:pt>
    <dgm:pt modelId="{CD43B147-15D9-4F3C-ABD5-8577D2CE61A3}" type="parTrans" cxnId="{2AD06A47-DCA6-43B0-9ACE-C97555B692C5}">
      <dgm:prSet/>
      <dgm:spPr/>
      <dgm:t>
        <a:bodyPr/>
        <a:lstStyle/>
        <a:p>
          <a:endParaRPr lang="en-US"/>
        </a:p>
      </dgm:t>
    </dgm:pt>
    <dgm:pt modelId="{8D9758BE-B41F-4BC3-9D51-BE2AF1A473E3}" type="sibTrans" cxnId="{2AD06A47-DCA6-43B0-9ACE-C97555B692C5}">
      <dgm:prSet/>
      <dgm:spPr/>
      <dgm:t>
        <a:bodyPr/>
        <a:lstStyle/>
        <a:p>
          <a:endParaRPr lang="en-US"/>
        </a:p>
      </dgm:t>
    </dgm:pt>
    <dgm:pt modelId="{08BA5FA0-1B9F-4775-9EC3-35A7F04FBF7C}">
      <dgm:prSet phldrT="[Text]" custT="1">
        <dgm:style>
          <a:lnRef idx="2">
            <a:schemeClr val="accent3"/>
          </a:lnRef>
          <a:fillRef idx="1">
            <a:schemeClr val="lt1"/>
          </a:fillRef>
          <a:effectRef idx="0">
            <a:schemeClr val="accent3"/>
          </a:effectRef>
          <a:fontRef idx="minor">
            <a:schemeClr val="dk1"/>
          </a:fontRef>
        </dgm:style>
      </dgm:prSet>
      <dgm:spPr>
        <a:ln/>
      </dgm:spPr>
      <dgm:t>
        <a:bodyPr/>
        <a:lstStyle/>
        <a:p>
          <a:r>
            <a:rPr lang="en-US" sz="1200"/>
            <a:t>Includes all services entered into the ELMR BIlling System that have been finalized. This report shows what IPU has approved or denied. Use the “IPU DENIAL REASON CODE” Report for the description. If the service can be re-billed, make the correction and bill again during the next month’s billing cycle. If you are unsure if a service can be re-billed or have questions regarding the denial, contact IPU at ELMR_PIF@ruhealth.org or (951) 358-7797, option 6.  All approved units will be used during the cost report settlement process.</a:t>
          </a:r>
        </a:p>
      </dgm:t>
    </dgm:pt>
    <dgm:pt modelId="{BA971F40-60DB-4B23-B9FD-1311F5F1B020}" type="parTrans" cxnId="{5F79BA3B-6BED-4B1C-B93A-5D90D866689F}">
      <dgm:prSet/>
      <dgm:spPr/>
      <dgm:t>
        <a:bodyPr/>
        <a:lstStyle/>
        <a:p>
          <a:endParaRPr lang="en-US"/>
        </a:p>
      </dgm:t>
    </dgm:pt>
    <dgm:pt modelId="{DA6B1995-622F-4956-B3C5-E93F0CBCB64A}" type="sibTrans" cxnId="{5F79BA3B-6BED-4B1C-B93A-5D90D866689F}">
      <dgm:prSet/>
      <dgm:spPr/>
      <dgm:t>
        <a:bodyPr/>
        <a:lstStyle/>
        <a:p>
          <a:endParaRPr lang="en-US"/>
        </a:p>
      </dgm:t>
    </dgm:pt>
    <dgm:pt modelId="{21FADF24-F0BE-49E2-B921-B596061AF2CE}">
      <dgm:prSet phldrT="[Text]" custT="1"/>
      <dgm:spPr/>
      <dgm:t>
        <a:bodyPr/>
        <a:lstStyle/>
        <a:p>
          <a:r>
            <a:rPr lang="en-US" sz="1600" b="1"/>
            <a:t>MHS 3011</a:t>
          </a:r>
        </a:p>
      </dgm:t>
    </dgm:pt>
    <dgm:pt modelId="{B1D571BF-C194-42FE-B59B-78F464FD4A5C}" type="parTrans" cxnId="{A573BBB7-3A8F-4EA1-B1D1-B5E57E4D84E6}">
      <dgm:prSet/>
      <dgm:spPr/>
      <dgm:t>
        <a:bodyPr/>
        <a:lstStyle/>
        <a:p>
          <a:endParaRPr lang="en-US"/>
        </a:p>
      </dgm:t>
    </dgm:pt>
    <dgm:pt modelId="{8E2E8E63-40A5-42CE-851F-5F1DC8A344DC}" type="sibTrans" cxnId="{A573BBB7-3A8F-4EA1-B1D1-B5E57E4D84E6}">
      <dgm:prSet/>
      <dgm:spPr/>
      <dgm:t>
        <a:bodyPr/>
        <a:lstStyle/>
        <a:p>
          <a:endParaRPr lang="en-US"/>
        </a:p>
      </dgm:t>
    </dgm:pt>
    <dgm:pt modelId="{8998D230-B32B-4E32-B2A2-C7E4634ED515}">
      <dgm:prSet phldrT="[Text]" custT="1">
        <dgm:style>
          <a:lnRef idx="2">
            <a:schemeClr val="accent4"/>
          </a:lnRef>
          <a:fillRef idx="1">
            <a:schemeClr val="lt1"/>
          </a:fillRef>
          <a:effectRef idx="0">
            <a:schemeClr val="accent4"/>
          </a:effectRef>
          <a:fontRef idx="minor">
            <a:schemeClr val="dk1"/>
          </a:fontRef>
        </dgm:style>
      </dgm:prSet>
      <dgm:spPr>
        <a:ln/>
      </dgm:spPr>
      <dgm:t>
        <a:bodyPr/>
        <a:lstStyle/>
        <a:p>
          <a:r>
            <a:rPr lang="en-US" sz="1150"/>
            <a:t>The MHS 3011 Report can be found in the RDS system and shows all approved services provided by your Agency. This report further details Medi-Cal services regarding what has not been billed, what has been billed then denied, and those that were re-billed. Services that do not show a claim number have not yet been billed to the State. Contact your designated authorizing personnel for more information on non-billed services and/or denials. Medi-Cal denials should also be listing in the V&amp;R Report. If you have questions regarding non-billable services, please contact ELMR_PIF@ruhealth.org. All approved units will be used during the cost report settlement process. </a:t>
          </a:r>
        </a:p>
      </dgm:t>
    </dgm:pt>
    <dgm:pt modelId="{FCB26222-8E48-4B8E-8984-82C0E4B7E7E3}" type="parTrans" cxnId="{1EB55FCC-10A8-437F-A08D-45AD49BE12FF}">
      <dgm:prSet/>
      <dgm:spPr/>
      <dgm:t>
        <a:bodyPr/>
        <a:lstStyle/>
        <a:p>
          <a:endParaRPr lang="en-US"/>
        </a:p>
      </dgm:t>
    </dgm:pt>
    <dgm:pt modelId="{51BB89EF-1DC6-41BD-83C7-7EFA29F956B6}" type="sibTrans" cxnId="{1EB55FCC-10A8-437F-A08D-45AD49BE12FF}">
      <dgm:prSet/>
      <dgm:spPr/>
      <dgm:t>
        <a:bodyPr/>
        <a:lstStyle/>
        <a:p>
          <a:endParaRPr lang="en-US"/>
        </a:p>
      </dgm:t>
    </dgm:pt>
    <dgm:pt modelId="{83D79DDF-A7C6-49BD-8700-962CFE1DB925}">
      <dgm:prSet phldrT="[Text]" custT="1"/>
      <dgm:spPr/>
      <dgm:t>
        <a:bodyPr/>
        <a:lstStyle/>
        <a:p>
          <a:r>
            <a:rPr lang="en-US" sz="1600" b="1"/>
            <a:t>V&amp;R Report</a:t>
          </a:r>
        </a:p>
      </dgm:t>
    </dgm:pt>
    <dgm:pt modelId="{2384CA78-23B3-4427-A2B5-0FAB6567886C}" type="parTrans" cxnId="{C95DBB78-54E5-40F2-89DF-05E902E15D40}">
      <dgm:prSet/>
      <dgm:spPr/>
      <dgm:t>
        <a:bodyPr/>
        <a:lstStyle/>
        <a:p>
          <a:endParaRPr lang="en-US"/>
        </a:p>
      </dgm:t>
    </dgm:pt>
    <dgm:pt modelId="{405AEA49-AA29-48F5-8DB0-615E2CF5CEC3}" type="sibTrans" cxnId="{C95DBB78-54E5-40F2-89DF-05E902E15D40}">
      <dgm:prSet/>
      <dgm:spPr/>
      <dgm:t>
        <a:bodyPr/>
        <a:lstStyle/>
        <a:p>
          <a:endParaRPr lang="en-US"/>
        </a:p>
      </dgm:t>
    </dgm:pt>
    <dgm:pt modelId="{69A3B878-81A7-4C9F-8EC7-0D74825A63EB}">
      <dgm:prSet phldrT="[Text]" custT="1">
        <dgm:style>
          <a:lnRef idx="2">
            <a:schemeClr val="accent5"/>
          </a:lnRef>
          <a:fillRef idx="1">
            <a:schemeClr val="lt1"/>
          </a:fillRef>
          <a:effectRef idx="0">
            <a:schemeClr val="accent5"/>
          </a:effectRef>
          <a:fontRef idx="minor">
            <a:schemeClr val="dk1"/>
          </a:fontRef>
        </dgm:style>
      </dgm:prSet>
      <dgm:spPr>
        <a:ln/>
      </dgm:spPr>
      <dgm:t>
        <a:bodyPr/>
        <a:lstStyle/>
        <a:p>
          <a:r>
            <a:rPr lang="en-US" sz="1100"/>
            <a:t> </a:t>
          </a:r>
          <a:r>
            <a:rPr lang="en-US" sz="1200"/>
            <a:t>If you provide Medi-cal services, the Void &amp; Replace Report is sent to you on a monthly basis and identifies all denied Medi-cal services and the reason for denial.  Use the State’s Short-Doyle Specialty Mental Health Services Claim Adjustment Reason Code (CARC) publication attached for further description.  If you are unsure how to correct a denied service, contact the designated authorizing personnel. Questions regarding the report can be forwarded to the  Patient Accounts HelpDesk at (951) 358-6900, opt 3 or send an email to Billing_Support@ruhealth.org. </a:t>
          </a:r>
        </a:p>
      </dgm:t>
    </dgm:pt>
    <dgm:pt modelId="{6316DD7D-02D3-491C-991E-D2A17FAE2944}" type="parTrans" cxnId="{ABA29EFC-CA9B-42C3-8267-EF5F226D4E92}">
      <dgm:prSet/>
      <dgm:spPr/>
      <dgm:t>
        <a:bodyPr/>
        <a:lstStyle/>
        <a:p>
          <a:endParaRPr lang="en-US"/>
        </a:p>
      </dgm:t>
    </dgm:pt>
    <dgm:pt modelId="{99403079-3AB6-4E11-B70E-2D7724C9CDC5}" type="sibTrans" cxnId="{ABA29EFC-CA9B-42C3-8267-EF5F226D4E92}">
      <dgm:prSet/>
      <dgm:spPr/>
      <dgm:t>
        <a:bodyPr/>
        <a:lstStyle/>
        <a:p>
          <a:endParaRPr lang="en-US"/>
        </a:p>
      </dgm:t>
    </dgm:pt>
    <dgm:pt modelId="{073E1171-EB3E-4AFB-A575-404D7FED88EA}">
      <dgm:prSet phldrT="[Text]" custT="1"/>
      <dgm:spPr/>
      <dgm:t>
        <a:bodyPr/>
        <a:lstStyle/>
        <a:p>
          <a:r>
            <a:rPr lang="en-US" sz="1600" b="1"/>
            <a:t>PVD 2004</a:t>
          </a:r>
        </a:p>
      </dgm:t>
    </dgm:pt>
    <dgm:pt modelId="{9BF4A436-97EF-4611-9951-EE310E530FCE}" type="parTrans" cxnId="{611C81F4-F794-4047-B744-FD6C568205D1}">
      <dgm:prSet/>
      <dgm:spPr/>
      <dgm:t>
        <a:bodyPr/>
        <a:lstStyle/>
        <a:p>
          <a:endParaRPr lang="en-US"/>
        </a:p>
      </dgm:t>
    </dgm:pt>
    <dgm:pt modelId="{C6EE5210-C71C-447F-859F-612E7E9A0629}" type="sibTrans" cxnId="{611C81F4-F794-4047-B744-FD6C568205D1}">
      <dgm:prSet/>
      <dgm:spPr/>
      <dgm:t>
        <a:bodyPr/>
        <a:lstStyle/>
        <a:p>
          <a:endParaRPr lang="en-US"/>
        </a:p>
      </dgm:t>
    </dgm:pt>
    <dgm:pt modelId="{C08834C4-C6DF-441A-A24A-9FA25ACE5D4C}" type="pres">
      <dgm:prSet presAssocID="{D3EB737E-8722-4979-A4BC-6A3CB6E2C6E3}" presName="linearFlow" presStyleCnt="0">
        <dgm:presLayoutVars>
          <dgm:dir/>
          <dgm:animLvl val="lvl"/>
          <dgm:resizeHandles val="exact"/>
        </dgm:presLayoutVars>
      </dgm:prSet>
      <dgm:spPr/>
      <dgm:t>
        <a:bodyPr/>
        <a:lstStyle/>
        <a:p>
          <a:endParaRPr lang="en-US"/>
        </a:p>
      </dgm:t>
    </dgm:pt>
    <dgm:pt modelId="{A9FF30C3-F742-4D38-BAAC-6C2C58965280}" type="pres">
      <dgm:prSet presAssocID="{073E1171-EB3E-4AFB-A575-404D7FED88EA}" presName="composite" presStyleCnt="0"/>
      <dgm:spPr/>
    </dgm:pt>
    <dgm:pt modelId="{B94A689C-5E49-4A05-92D8-CE3209D8BE7D}" type="pres">
      <dgm:prSet presAssocID="{073E1171-EB3E-4AFB-A575-404D7FED88EA}" presName="parentText" presStyleLbl="alignNode1" presStyleIdx="0" presStyleCnt="4">
        <dgm:presLayoutVars>
          <dgm:chMax val="1"/>
          <dgm:bulletEnabled val="1"/>
        </dgm:presLayoutVars>
      </dgm:prSet>
      <dgm:spPr/>
      <dgm:t>
        <a:bodyPr/>
        <a:lstStyle/>
        <a:p>
          <a:endParaRPr lang="en-US"/>
        </a:p>
      </dgm:t>
    </dgm:pt>
    <dgm:pt modelId="{C19501B4-66FB-4499-BB30-0AE4E6250125}" type="pres">
      <dgm:prSet presAssocID="{073E1171-EB3E-4AFB-A575-404D7FED88EA}" presName="descendantText" presStyleLbl="alignAcc1" presStyleIdx="0" presStyleCnt="4">
        <dgm:presLayoutVars>
          <dgm:bulletEnabled val="1"/>
        </dgm:presLayoutVars>
      </dgm:prSet>
      <dgm:spPr/>
      <dgm:t>
        <a:bodyPr/>
        <a:lstStyle/>
        <a:p>
          <a:endParaRPr lang="en-US"/>
        </a:p>
      </dgm:t>
    </dgm:pt>
    <dgm:pt modelId="{37620660-CC9E-47FD-9D91-0A8493909B4B}" type="pres">
      <dgm:prSet presAssocID="{C6EE5210-C71C-447F-859F-612E7E9A0629}" presName="sp" presStyleCnt="0"/>
      <dgm:spPr/>
    </dgm:pt>
    <dgm:pt modelId="{85B2DC9A-05BD-4568-A5E4-9AF86D74080E}" type="pres">
      <dgm:prSet presAssocID="{8955A89A-1B9A-4F18-9461-CCE1683D3A64}" presName="composite" presStyleCnt="0"/>
      <dgm:spPr/>
    </dgm:pt>
    <dgm:pt modelId="{B68D7113-CEB1-49CC-9D58-645114F43AF8}" type="pres">
      <dgm:prSet presAssocID="{8955A89A-1B9A-4F18-9461-CCE1683D3A64}" presName="parentText" presStyleLbl="alignNode1" presStyleIdx="1" presStyleCnt="4">
        <dgm:presLayoutVars>
          <dgm:chMax val="1"/>
          <dgm:bulletEnabled val="1"/>
        </dgm:presLayoutVars>
      </dgm:prSet>
      <dgm:spPr/>
      <dgm:t>
        <a:bodyPr/>
        <a:lstStyle/>
        <a:p>
          <a:endParaRPr lang="en-US"/>
        </a:p>
      </dgm:t>
    </dgm:pt>
    <dgm:pt modelId="{2A354A8C-95D5-490F-8D52-DB45633F98F8}" type="pres">
      <dgm:prSet presAssocID="{8955A89A-1B9A-4F18-9461-CCE1683D3A64}" presName="descendantText" presStyleLbl="alignAcc1" presStyleIdx="1" presStyleCnt="4">
        <dgm:presLayoutVars>
          <dgm:bulletEnabled val="1"/>
        </dgm:presLayoutVars>
      </dgm:prSet>
      <dgm:spPr/>
      <dgm:t>
        <a:bodyPr/>
        <a:lstStyle/>
        <a:p>
          <a:endParaRPr lang="en-US"/>
        </a:p>
      </dgm:t>
    </dgm:pt>
    <dgm:pt modelId="{49C889F6-DE47-496E-9B85-DDE23612B627}" type="pres">
      <dgm:prSet presAssocID="{8D9758BE-B41F-4BC3-9D51-BE2AF1A473E3}" presName="sp" presStyleCnt="0"/>
      <dgm:spPr/>
    </dgm:pt>
    <dgm:pt modelId="{0AAC7023-A50E-4C1E-904A-E1B03260DDA5}" type="pres">
      <dgm:prSet presAssocID="{21FADF24-F0BE-49E2-B921-B596061AF2CE}" presName="composite" presStyleCnt="0"/>
      <dgm:spPr/>
    </dgm:pt>
    <dgm:pt modelId="{650EDBBC-3647-4BFC-932C-D16E189D4AB0}" type="pres">
      <dgm:prSet presAssocID="{21FADF24-F0BE-49E2-B921-B596061AF2CE}" presName="parentText" presStyleLbl="alignNode1" presStyleIdx="2" presStyleCnt="4">
        <dgm:presLayoutVars>
          <dgm:chMax val="1"/>
          <dgm:bulletEnabled val="1"/>
        </dgm:presLayoutVars>
      </dgm:prSet>
      <dgm:spPr/>
      <dgm:t>
        <a:bodyPr/>
        <a:lstStyle/>
        <a:p>
          <a:endParaRPr lang="en-US"/>
        </a:p>
      </dgm:t>
    </dgm:pt>
    <dgm:pt modelId="{68678B46-B71A-464A-A0FB-F123C452D0BF}" type="pres">
      <dgm:prSet presAssocID="{21FADF24-F0BE-49E2-B921-B596061AF2CE}" presName="descendantText" presStyleLbl="alignAcc1" presStyleIdx="2" presStyleCnt="4" custScaleY="119267">
        <dgm:presLayoutVars>
          <dgm:bulletEnabled val="1"/>
        </dgm:presLayoutVars>
      </dgm:prSet>
      <dgm:spPr/>
      <dgm:t>
        <a:bodyPr/>
        <a:lstStyle/>
        <a:p>
          <a:endParaRPr lang="en-US"/>
        </a:p>
      </dgm:t>
    </dgm:pt>
    <dgm:pt modelId="{B2585E7D-0F1E-43FB-9C0E-8D030C9BF272}" type="pres">
      <dgm:prSet presAssocID="{8E2E8E63-40A5-42CE-851F-5F1DC8A344DC}" presName="sp" presStyleCnt="0"/>
      <dgm:spPr/>
    </dgm:pt>
    <dgm:pt modelId="{730E403F-9BAC-4B1D-9219-456AD880BC50}" type="pres">
      <dgm:prSet presAssocID="{83D79DDF-A7C6-49BD-8700-962CFE1DB925}" presName="composite" presStyleCnt="0"/>
      <dgm:spPr/>
    </dgm:pt>
    <dgm:pt modelId="{3480E17D-7294-42EB-B00B-3AEF7A430E5E}" type="pres">
      <dgm:prSet presAssocID="{83D79DDF-A7C6-49BD-8700-962CFE1DB925}" presName="parentText" presStyleLbl="alignNode1" presStyleIdx="3" presStyleCnt="4">
        <dgm:presLayoutVars>
          <dgm:chMax val="1"/>
          <dgm:bulletEnabled val="1"/>
        </dgm:presLayoutVars>
      </dgm:prSet>
      <dgm:spPr/>
      <dgm:t>
        <a:bodyPr/>
        <a:lstStyle/>
        <a:p>
          <a:endParaRPr lang="en-US"/>
        </a:p>
      </dgm:t>
    </dgm:pt>
    <dgm:pt modelId="{FC2352B4-4740-44B8-A2E2-C0552206F10B}" type="pres">
      <dgm:prSet presAssocID="{83D79DDF-A7C6-49BD-8700-962CFE1DB925}" presName="descendantText" presStyleLbl="alignAcc1" presStyleIdx="3" presStyleCnt="4" custScaleY="125517" custLinFactNeighborY="15699">
        <dgm:presLayoutVars>
          <dgm:bulletEnabled val="1"/>
        </dgm:presLayoutVars>
      </dgm:prSet>
      <dgm:spPr/>
      <dgm:t>
        <a:bodyPr/>
        <a:lstStyle/>
        <a:p>
          <a:endParaRPr lang="en-US"/>
        </a:p>
      </dgm:t>
    </dgm:pt>
  </dgm:ptLst>
  <dgm:cxnLst>
    <dgm:cxn modelId="{1F0F176A-0548-4953-94C0-AFFF95A6C378}" srcId="{073E1171-EB3E-4AFB-A575-404D7FED88EA}" destId="{3E3DECEE-1FC8-4044-AB33-2C5F18AEA42E}" srcOrd="0" destOrd="0" parTransId="{4987F016-6D80-4144-B5CD-6EF42B564C24}" sibTransId="{EDE4A484-3D20-4A4B-A4E2-E67D78CD86E9}"/>
    <dgm:cxn modelId="{77539B73-F20D-46FC-A72E-7A5BA8D56C25}" type="presOf" srcId="{8998D230-B32B-4E32-B2A2-C7E4634ED515}" destId="{68678B46-B71A-464A-A0FB-F123C452D0BF}" srcOrd="0" destOrd="0" presId="urn:microsoft.com/office/officeart/2005/8/layout/chevron2"/>
    <dgm:cxn modelId="{BCF67D5A-23CF-4104-A52B-C2935F28843B}" type="presOf" srcId="{08BA5FA0-1B9F-4775-9EC3-35A7F04FBF7C}" destId="{2A354A8C-95D5-490F-8D52-DB45633F98F8}" srcOrd="0" destOrd="0" presId="urn:microsoft.com/office/officeart/2005/8/layout/chevron2"/>
    <dgm:cxn modelId="{611C81F4-F794-4047-B744-FD6C568205D1}" srcId="{D3EB737E-8722-4979-A4BC-6A3CB6E2C6E3}" destId="{073E1171-EB3E-4AFB-A575-404D7FED88EA}" srcOrd="0" destOrd="0" parTransId="{9BF4A436-97EF-4611-9951-EE310E530FCE}" sibTransId="{C6EE5210-C71C-447F-859F-612E7E9A0629}"/>
    <dgm:cxn modelId="{2AD06A47-DCA6-43B0-9ACE-C97555B692C5}" srcId="{D3EB737E-8722-4979-A4BC-6A3CB6E2C6E3}" destId="{8955A89A-1B9A-4F18-9461-CCE1683D3A64}" srcOrd="1" destOrd="0" parTransId="{CD43B147-15D9-4F3C-ABD5-8577D2CE61A3}" sibTransId="{8D9758BE-B41F-4BC3-9D51-BE2AF1A473E3}"/>
    <dgm:cxn modelId="{A50752DD-6530-4E2E-926C-789EE4F5FA80}" type="presOf" srcId="{21FADF24-F0BE-49E2-B921-B596061AF2CE}" destId="{650EDBBC-3647-4BFC-932C-D16E189D4AB0}" srcOrd="0" destOrd="0" presId="urn:microsoft.com/office/officeart/2005/8/layout/chevron2"/>
    <dgm:cxn modelId="{6879A7B3-805B-47FC-88D9-458F80205C03}" type="presOf" srcId="{8955A89A-1B9A-4F18-9461-CCE1683D3A64}" destId="{B68D7113-CEB1-49CC-9D58-645114F43AF8}" srcOrd="0" destOrd="0" presId="urn:microsoft.com/office/officeart/2005/8/layout/chevron2"/>
    <dgm:cxn modelId="{5F79BA3B-6BED-4B1C-B93A-5D90D866689F}" srcId="{8955A89A-1B9A-4F18-9461-CCE1683D3A64}" destId="{08BA5FA0-1B9F-4775-9EC3-35A7F04FBF7C}" srcOrd="0" destOrd="0" parTransId="{BA971F40-60DB-4B23-B9FD-1311F5F1B020}" sibTransId="{DA6B1995-622F-4956-B3C5-E93F0CBCB64A}"/>
    <dgm:cxn modelId="{C95DBB78-54E5-40F2-89DF-05E902E15D40}" srcId="{D3EB737E-8722-4979-A4BC-6A3CB6E2C6E3}" destId="{83D79DDF-A7C6-49BD-8700-962CFE1DB925}" srcOrd="3" destOrd="0" parTransId="{2384CA78-23B3-4427-A2B5-0FAB6567886C}" sibTransId="{405AEA49-AA29-48F5-8DB0-615E2CF5CEC3}"/>
    <dgm:cxn modelId="{724CD3E7-E3A6-461B-B258-12852D0A65EC}" type="presOf" srcId="{83D79DDF-A7C6-49BD-8700-962CFE1DB925}" destId="{3480E17D-7294-42EB-B00B-3AEF7A430E5E}" srcOrd="0" destOrd="0" presId="urn:microsoft.com/office/officeart/2005/8/layout/chevron2"/>
    <dgm:cxn modelId="{A573BBB7-3A8F-4EA1-B1D1-B5E57E4D84E6}" srcId="{D3EB737E-8722-4979-A4BC-6A3CB6E2C6E3}" destId="{21FADF24-F0BE-49E2-B921-B596061AF2CE}" srcOrd="2" destOrd="0" parTransId="{B1D571BF-C194-42FE-B59B-78F464FD4A5C}" sibTransId="{8E2E8E63-40A5-42CE-851F-5F1DC8A344DC}"/>
    <dgm:cxn modelId="{1EB55FCC-10A8-437F-A08D-45AD49BE12FF}" srcId="{21FADF24-F0BE-49E2-B921-B596061AF2CE}" destId="{8998D230-B32B-4E32-B2A2-C7E4634ED515}" srcOrd="0" destOrd="0" parTransId="{FCB26222-8E48-4B8E-8984-82C0E4B7E7E3}" sibTransId="{51BB89EF-1DC6-41BD-83C7-7EFA29F956B6}"/>
    <dgm:cxn modelId="{A23BCC4A-4536-401A-BEC1-1EB26AB1A8F4}" type="presOf" srcId="{69A3B878-81A7-4C9F-8EC7-0D74825A63EB}" destId="{FC2352B4-4740-44B8-A2E2-C0552206F10B}" srcOrd="0" destOrd="0" presId="urn:microsoft.com/office/officeart/2005/8/layout/chevron2"/>
    <dgm:cxn modelId="{F9A32111-AD81-4F3E-8C68-1679BFA9C3F1}" type="presOf" srcId="{D3EB737E-8722-4979-A4BC-6A3CB6E2C6E3}" destId="{C08834C4-C6DF-441A-A24A-9FA25ACE5D4C}" srcOrd="0" destOrd="0" presId="urn:microsoft.com/office/officeart/2005/8/layout/chevron2"/>
    <dgm:cxn modelId="{ABA29EFC-CA9B-42C3-8267-EF5F226D4E92}" srcId="{83D79DDF-A7C6-49BD-8700-962CFE1DB925}" destId="{69A3B878-81A7-4C9F-8EC7-0D74825A63EB}" srcOrd="0" destOrd="0" parTransId="{6316DD7D-02D3-491C-991E-D2A17FAE2944}" sibTransId="{99403079-3AB6-4E11-B70E-2D7724C9CDC5}"/>
    <dgm:cxn modelId="{794193B6-35C2-43A6-9AC9-FAB391B3D7CF}" type="presOf" srcId="{3E3DECEE-1FC8-4044-AB33-2C5F18AEA42E}" destId="{C19501B4-66FB-4499-BB30-0AE4E6250125}" srcOrd="0" destOrd="0" presId="urn:microsoft.com/office/officeart/2005/8/layout/chevron2"/>
    <dgm:cxn modelId="{B1412B7A-818C-42EC-944A-DC952DA065E5}" type="presOf" srcId="{073E1171-EB3E-4AFB-A575-404D7FED88EA}" destId="{B94A689C-5E49-4A05-92D8-CE3209D8BE7D}" srcOrd="0" destOrd="0" presId="urn:microsoft.com/office/officeart/2005/8/layout/chevron2"/>
    <dgm:cxn modelId="{4DE25C6A-AE1C-467A-A1EF-818C027F9FF6}" type="presParOf" srcId="{C08834C4-C6DF-441A-A24A-9FA25ACE5D4C}" destId="{A9FF30C3-F742-4D38-BAAC-6C2C58965280}" srcOrd="0" destOrd="0" presId="urn:microsoft.com/office/officeart/2005/8/layout/chevron2"/>
    <dgm:cxn modelId="{2091072F-7B47-4B7D-9097-4234D42A8B09}" type="presParOf" srcId="{A9FF30C3-F742-4D38-BAAC-6C2C58965280}" destId="{B94A689C-5E49-4A05-92D8-CE3209D8BE7D}" srcOrd="0" destOrd="0" presId="urn:microsoft.com/office/officeart/2005/8/layout/chevron2"/>
    <dgm:cxn modelId="{39065523-754F-48E4-8C97-7F859C945D08}" type="presParOf" srcId="{A9FF30C3-F742-4D38-BAAC-6C2C58965280}" destId="{C19501B4-66FB-4499-BB30-0AE4E6250125}" srcOrd="1" destOrd="0" presId="urn:microsoft.com/office/officeart/2005/8/layout/chevron2"/>
    <dgm:cxn modelId="{F08C5C4C-8931-44B4-A023-CC1D2E157BC5}" type="presParOf" srcId="{C08834C4-C6DF-441A-A24A-9FA25ACE5D4C}" destId="{37620660-CC9E-47FD-9D91-0A8493909B4B}" srcOrd="1" destOrd="0" presId="urn:microsoft.com/office/officeart/2005/8/layout/chevron2"/>
    <dgm:cxn modelId="{E0B40265-F844-4910-BCEE-D57764F2DCBE}" type="presParOf" srcId="{C08834C4-C6DF-441A-A24A-9FA25ACE5D4C}" destId="{85B2DC9A-05BD-4568-A5E4-9AF86D74080E}" srcOrd="2" destOrd="0" presId="urn:microsoft.com/office/officeart/2005/8/layout/chevron2"/>
    <dgm:cxn modelId="{7D86C0EE-E6E2-47C7-BF5C-92A57269ADEB}" type="presParOf" srcId="{85B2DC9A-05BD-4568-A5E4-9AF86D74080E}" destId="{B68D7113-CEB1-49CC-9D58-645114F43AF8}" srcOrd="0" destOrd="0" presId="urn:microsoft.com/office/officeart/2005/8/layout/chevron2"/>
    <dgm:cxn modelId="{2A65D4D7-56B6-4E33-B653-62F422C001BB}" type="presParOf" srcId="{85B2DC9A-05BD-4568-A5E4-9AF86D74080E}" destId="{2A354A8C-95D5-490F-8D52-DB45633F98F8}" srcOrd="1" destOrd="0" presId="urn:microsoft.com/office/officeart/2005/8/layout/chevron2"/>
    <dgm:cxn modelId="{2E573AA8-34AE-49EE-84AA-E2F211A974ED}" type="presParOf" srcId="{C08834C4-C6DF-441A-A24A-9FA25ACE5D4C}" destId="{49C889F6-DE47-496E-9B85-DDE23612B627}" srcOrd="3" destOrd="0" presId="urn:microsoft.com/office/officeart/2005/8/layout/chevron2"/>
    <dgm:cxn modelId="{4044CB3B-5072-4DC9-B345-39A80D36CD27}" type="presParOf" srcId="{C08834C4-C6DF-441A-A24A-9FA25ACE5D4C}" destId="{0AAC7023-A50E-4C1E-904A-E1B03260DDA5}" srcOrd="4" destOrd="0" presId="urn:microsoft.com/office/officeart/2005/8/layout/chevron2"/>
    <dgm:cxn modelId="{7EFD3938-9716-4C39-9714-11C366662F46}" type="presParOf" srcId="{0AAC7023-A50E-4C1E-904A-E1B03260DDA5}" destId="{650EDBBC-3647-4BFC-932C-D16E189D4AB0}" srcOrd="0" destOrd="0" presId="urn:microsoft.com/office/officeart/2005/8/layout/chevron2"/>
    <dgm:cxn modelId="{EF30DF83-FADD-4C3C-A391-F9E1619ABDFC}" type="presParOf" srcId="{0AAC7023-A50E-4C1E-904A-E1B03260DDA5}" destId="{68678B46-B71A-464A-A0FB-F123C452D0BF}" srcOrd="1" destOrd="0" presId="urn:microsoft.com/office/officeart/2005/8/layout/chevron2"/>
    <dgm:cxn modelId="{0DA7B44C-969F-4559-91E2-F30D670B3E38}" type="presParOf" srcId="{C08834C4-C6DF-441A-A24A-9FA25ACE5D4C}" destId="{B2585E7D-0F1E-43FB-9C0E-8D030C9BF272}" srcOrd="5" destOrd="0" presId="urn:microsoft.com/office/officeart/2005/8/layout/chevron2"/>
    <dgm:cxn modelId="{AC581002-5E1E-452A-B324-D6EEDCC58F5F}" type="presParOf" srcId="{C08834C4-C6DF-441A-A24A-9FA25ACE5D4C}" destId="{730E403F-9BAC-4B1D-9219-456AD880BC50}" srcOrd="6" destOrd="0" presId="urn:microsoft.com/office/officeart/2005/8/layout/chevron2"/>
    <dgm:cxn modelId="{8356B930-A17F-42DD-9E0E-6CAF4E85EEF8}" type="presParOf" srcId="{730E403F-9BAC-4B1D-9219-456AD880BC50}" destId="{3480E17D-7294-42EB-B00B-3AEF7A430E5E}" srcOrd="0" destOrd="0" presId="urn:microsoft.com/office/officeart/2005/8/layout/chevron2"/>
    <dgm:cxn modelId="{6524D331-BCF9-4157-930C-DD960B00C44C}" type="presParOf" srcId="{730E403F-9BAC-4B1D-9219-456AD880BC50}" destId="{FC2352B4-4740-44B8-A2E2-C0552206F10B}" srcOrd="1" destOrd="0" presId="urn:microsoft.com/office/officeart/2005/8/layout/chevron2"/>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4A689C-5E49-4A05-92D8-CE3209D8BE7D}">
      <dsp:nvSpPr>
        <dsp:cNvPr id="0" name=""/>
        <dsp:cNvSpPr/>
      </dsp:nvSpPr>
      <dsp:spPr>
        <a:xfrm rot="5400000">
          <a:off x="-220468" y="226589"/>
          <a:ext cx="1469792" cy="1028854"/>
        </a:xfrm>
        <a:prstGeom prst="chevron">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t>PVD 2004</a:t>
          </a:r>
        </a:p>
      </dsp:txBody>
      <dsp:txXfrm rot="-5400000">
        <a:off x="1" y="520547"/>
        <a:ext cx="1028854" cy="440938"/>
      </dsp:txXfrm>
    </dsp:sp>
    <dsp:sp modelId="{C19501B4-66FB-4499-BB30-0AE4E6250125}">
      <dsp:nvSpPr>
        <dsp:cNvPr id="0" name=""/>
        <dsp:cNvSpPr/>
      </dsp:nvSpPr>
      <dsp:spPr>
        <a:xfrm rot="5400000">
          <a:off x="4780194" y="-3745219"/>
          <a:ext cx="955364" cy="8458045"/>
        </a:xfrm>
        <a:prstGeom prst="round2SameRect">
          <a:avLst/>
        </a:prstGeom>
        <a:solidFill>
          <a:schemeClr val="lt1"/>
        </a:solidFill>
        <a:ln w="25400" cap="flat" cmpd="sng" algn="ctr">
          <a:solidFill>
            <a:schemeClr val="accent2"/>
          </a:solidFill>
          <a:prstDash val="solid"/>
        </a:ln>
        <a:effectLst/>
        <a:scene3d>
          <a:camera prst="orthographicFront"/>
          <a:lightRig rig="flat" dir="t"/>
        </a:scene3d>
        <a:sp3d extrusionH="12700"/>
      </dsp:spPr>
      <dsp:style>
        <a:lnRef idx="2">
          <a:schemeClr val="accent2"/>
        </a:lnRef>
        <a:fillRef idx="1">
          <a:schemeClr val="lt1"/>
        </a:fillRef>
        <a:effectRef idx="0">
          <a:schemeClr val="accent2"/>
        </a:effectRef>
        <a:fontRef idx="minor">
          <a:schemeClr val="dk1"/>
        </a:fontRef>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Includes all services entered into the ELMR Billing System whether in DRAFT or FINALIZED mode. These services may not yet be approved by Invoice Processing Unit (IPU) for payment. If there are discrepancies on this report, please send an email to ELMRSupport@ruhealth.org.</a:t>
          </a:r>
        </a:p>
      </dsp:txBody>
      <dsp:txXfrm rot="-5400000">
        <a:off x="1028854" y="52758"/>
        <a:ext cx="8411408" cy="862090"/>
      </dsp:txXfrm>
    </dsp:sp>
    <dsp:sp modelId="{B68D7113-CEB1-49CC-9D58-645114F43AF8}">
      <dsp:nvSpPr>
        <dsp:cNvPr id="0" name=""/>
        <dsp:cNvSpPr/>
      </dsp:nvSpPr>
      <dsp:spPr>
        <a:xfrm rot="5400000">
          <a:off x="-220468" y="1558014"/>
          <a:ext cx="1469792" cy="1028854"/>
        </a:xfrm>
        <a:prstGeom prst="chevron">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t>PVD 2002</a:t>
          </a:r>
        </a:p>
      </dsp:txBody>
      <dsp:txXfrm rot="-5400000">
        <a:off x="1" y="1851972"/>
        <a:ext cx="1028854" cy="440938"/>
      </dsp:txXfrm>
    </dsp:sp>
    <dsp:sp modelId="{2A354A8C-95D5-490F-8D52-DB45633F98F8}">
      <dsp:nvSpPr>
        <dsp:cNvPr id="0" name=""/>
        <dsp:cNvSpPr/>
      </dsp:nvSpPr>
      <dsp:spPr>
        <a:xfrm rot="5400000">
          <a:off x="4780194" y="-2413794"/>
          <a:ext cx="955364" cy="8458045"/>
        </a:xfrm>
        <a:prstGeom prst="round2SameRect">
          <a:avLst/>
        </a:prstGeom>
        <a:solidFill>
          <a:schemeClr val="lt1"/>
        </a:solidFill>
        <a:ln w="25400" cap="flat" cmpd="sng" algn="ctr">
          <a:solidFill>
            <a:schemeClr val="accent3"/>
          </a:solidFill>
          <a:prstDash val="solid"/>
        </a:ln>
        <a:effectLst/>
        <a:scene3d>
          <a:camera prst="orthographicFront"/>
          <a:lightRig rig="flat" dir="t"/>
        </a:scene3d>
        <a:sp3d extrusionH="12700"/>
      </dsp:spPr>
      <dsp:style>
        <a:lnRef idx="2">
          <a:schemeClr val="accent3"/>
        </a:lnRef>
        <a:fillRef idx="1">
          <a:schemeClr val="lt1"/>
        </a:fillRef>
        <a:effectRef idx="0">
          <a:schemeClr val="accent3"/>
        </a:effectRef>
        <a:fontRef idx="minor">
          <a:schemeClr val="dk1"/>
        </a:fontRef>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Includes all services entered into the ELMR BIlling System that have been finalized. This report shows what IPU has approved or denied. Use the “IPU DENIAL REASON CODE” Report for the description. If the service can be re-billed, make the correction and bill again during the next month’s billing cycle. If you are unsure if a service can be re-billed or have questions regarding the denial, contact IPU at ELMR_PIF@ruhealth.org or (951) 358-7797, option 6.  All approved units will be used during the cost report settlement process.</a:t>
          </a:r>
        </a:p>
      </dsp:txBody>
      <dsp:txXfrm rot="-5400000">
        <a:off x="1028854" y="1384183"/>
        <a:ext cx="8411408" cy="862090"/>
      </dsp:txXfrm>
    </dsp:sp>
    <dsp:sp modelId="{650EDBBC-3647-4BFC-932C-D16E189D4AB0}">
      <dsp:nvSpPr>
        <dsp:cNvPr id="0" name=""/>
        <dsp:cNvSpPr/>
      </dsp:nvSpPr>
      <dsp:spPr>
        <a:xfrm rot="5400000">
          <a:off x="-220468" y="2981475"/>
          <a:ext cx="1469792" cy="1028854"/>
        </a:xfrm>
        <a:prstGeom prst="chevron">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t>MHS 3011</a:t>
          </a:r>
        </a:p>
      </dsp:txBody>
      <dsp:txXfrm rot="-5400000">
        <a:off x="1" y="3275433"/>
        <a:ext cx="1028854" cy="440938"/>
      </dsp:txXfrm>
    </dsp:sp>
    <dsp:sp modelId="{68678B46-B71A-464A-A0FB-F123C452D0BF}">
      <dsp:nvSpPr>
        <dsp:cNvPr id="0" name=""/>
        <dsp:cNvSpPr/>
      </dsp:nvSpPr>
      <dsp:spPr>
        <a:xfrm rot="5400000">
          <a:off x="4688159" y="-990333"/>
          <a:ext cx="1139435" cy="8458045"/>
        </a:xfrm>
        <a:prstGeom prst="round2SameRect">
          <a:avLst/>
        </a:prstGeom>
        <a:solidFill>
          <a:schemeClr val="lt1"/>
        </a:solidFill>
        <a:ln w="25400" cap="flat" cmpd="sng" algn="ctr">
          <a:solidFill>
            <a:schemeClr val="accent4"/>
          </a:solidFill>
          <a:prstDash val="solid"/>
        </a:ln>
        <a:effectLst/>
        <a:scene3d>
          <a:camera prst="orthographicFront"/>
          <a:lightRig rig="flat" dir="t"/>
        </a:scene3d>
        <a:sp3d extrusionH="12700"/>
      </dsp:spPr>
      <dsp:style>
        <a:lnRef idx="2">
          <a:schemeClr val="accent4"/>
        </a:lnRef>
        <a:fillRef idx="1">
          <a:schemeClr val="lt1"/>
        </a:fillRef>
        <a:effectRef idx="0">
          <a:schemeClr val="accent4"/>
        </a:effectRef>
        <a:fontRef idx="minor">
          <a:schemeClr val="dk1"/>
        </a:fontRef>
      </dsp:style>
      <dsp:txBody>
        <a:bodyPr spcFirstLastPara="0" vert="horz" wrap="square" lIns="85344" tIns="7620" rIns="7620" bIns="7620" numCol="1" spcCol="1270" anchor="ctr" anchorCtr="0">
          <a:noAutofit/>
        </a:bodyPr>
        <a:lstStyle/>
        <a:p>
          <a:pPr marL="57150" lvl="1" indent="-57150" algn="l" defTabSz="511175">
            <a:lnSpc>
              <a:spcPct val="90000"/>
            </a:lnSpc>
            <a:spcBef>
              <a:spcPct val="0"/>
            </a:spcBef>
            <a:spcAft>
              <a:spcPct val="15000"/>
            </a:spcAft>
            <a:buChar char="••"/>
          </a:pPr>
          <a:r>
            <a:rPr lang="en-US" sz="1150" kern="1200"/>
            <a:t>The MHS 3011 Report can be found in the RDS system and shows all approved services provided by your Agency. This report further details Medi-Cal services regarding what has not been billed, what has been billed then denied, and those that were re-billed. Services that do not show a claim number have not yet been billed to the State. Contact your designated authorizing personnel for more information on non-billed services and/or denials. Medi-Cal denials should also be listing in the V&amp;R Report. If you have questions regarding non-billable services, please contact ELMR_PIF@ruhealth.org. All approved units will be used during the cost report settlement process. </a:t>
          </a:r>
        </a:p>
      </dsp:txBody>
      <dsp:txXfrm rot="-5400000">
        <a:off x="1028855" y="2724594"/>
        <a:ext cx="8402422" cy="1028189"/>
      </dsp:txXfrm>
    </dsp:sp>
    <dsp:sp modelId="{3480E17D-7294-42EB-B00B-3AEF7A430E5E}">
      <dsp:nvSpPr>
        <dsp:cNvPr id="0" name=""/>
        <dsp:cNvSpPr/>
      </dsp:nvSpPr>
      <dsp:spPr>
        <a:xfrm rot="5400000">
          <a:off x="-220468" y="4434791"/>
          <a:ext cx="1469792" cy="1028854"/>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t>V&amp;R Report</a:t>
          </a:r>
        </a:p>
      </dsp:txBody>
      <dsp:txXfrm rot="-5400000">
        <a:off x="1" y="4728749"/>
        <a:ext cx="1028854" cy="440938"/>
      </dsp:txXfrm>
    </dsp:sp>
    <dsp:sp modelId="{FC2352B4-4740-44B8-A2E2-C0552206F10B}">
      <dsp:nvSpPr>
        <dsp:cNvPr id="0" name=""/>
        <dsp:cNvSpPr/>
      </dsp:nvSpPr>
      <dsp:spPr>
        <a:xfrm rot="5400000">
          <a:off x="4658304" y="612964"/>
          <a:ext cx="1199145" cy="8458045"/>
        </a:xfrm>
        <a:prstGeom prst="round2SameRect">
          <a:avLst/>
        </a:prstGeom>
        <a:solidFill>
          <a:schemeClr val="lt1"/>
        </a:solidFill>
        <a:ln w="25400" cap="flat" cmpd="sng" algn="ctr">
          <a:solidFill>
            <a:schemeClr val="accent5"/>
          </a:solidFill>
          <a:prstDash val="solid"/>
        </a:ln>
        <a:effectLst/>
        <a:scene3d>
          <a:camera prst="orthographicFront"/>
          <a:lightRig rig="flat" dir="t"/>
        </a:scene3d>
        <a:sp3d extrusionH="12700"/>
      </dsp:spPr>
      <dsp:style>
        <a:lnRef idx="2">
          <a:schemeClr val="accent5"/>
        </a:lnRef>
        <a:fillRef idx="1">
          <a:schemeClr val="lt1"/>
        </a:fillRef>
        <a:effectRef idx="0">
          <a:schemeClr val="accent5"/>
        </a:effectRef>
        <a:fontRef idx="minor">
          <a:schemeClr val="dk1"/>
        </a:fontRef>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 </a:t>
          </a:r>
          <a:r>
            <a:rPr lang="en-US" sz="1200" kern="1200"/>
            <a:t>If you provide Medi-cal services, the Void &amp; Replace Report is sent to you on a monthly basis and identifies all denied Medi-cal services and the reason for denial.  Use the State’s Short-Doyle Specialty Mental Health Services Claim Adjustment Reason Code (CARC) publication attached for further description.  If you are unsure how to correct a denied service, contact the designated authorizing personnel. Questions regarding the report can be forwarded to the  Patient Accounts HelpDesk at (951) 358-6900, opt 3 or send an email to Billing_Support@ruhealth.org. </a:t>
          </a:r>
        </a:p>
      </dsp:txBody>
      <dsp:txXfrm rot="-5400000">
        <a:off x="1028855" y="4300951"/>
        <a:ext cx="8399508" cy="108207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Mental Health</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jpcrain</dc:creator>
  <cp:lastModifiedBy>Jackson, Twanda</cp:lastModifiedBy>
  <cp:revision>7</cp:revision>
  <cp:lastPrinted>2020-06-16T23:39:00Z</cp:lastPrinted>
  <dcterms:created xsi:type="dcterms:W3CDTF">2020-06-16T19:03:00Z</dcterms:created>
  <dcterms:modified xsi:type="dcterms:W3CDTF">2022-06-15T18:32:00Z</dcterms:modified>
</cp:coreProperties>
</file>